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7bdb0d02eaca454bcbc59a59e3cd4f7f3259d2"/>
    <w:p>
      <w:pPr>
        <w:pStyle w:val="Heading3"/>
      </w:pPr>
      <w:r>
        <w:t xml:space="preserve">RUSSPASS. Бизнес - инструкция по применению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hyperlink r:id="rId20">
        <w:r>
          <w:rPr>
            <w:rStyle w:val="Hyperlink"/>
          </w:rPr>
          <w:t xml:space="preserve">RUSSPASS. Бизнес - инструкция по применению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http://novogireevo.mos.ru/trade-and-services/official-announcements-and-documents/detail/12141291.html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557/9ot8yzkkphhseu0dk2qf58eiqab46fcs/RUSSPASS_Biznes_instruktsiya_po_primeneniyu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2141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557/9ot8yzkkphhseu0dk2qf58eiqab46fcs/RUSSPASS_Biznes_instruktsiya_po_primeneniyu_1_.pdf" TargetMode="External" /><Relationship Type="http://schemas.openxmlformats.org/officeDocument/2006/relationships/hyperlink" Id="rId22" Target="http://novogireevo.mos.ru" TargetMode="External" /><Relationship Type="http://schemas.openxmlformats.org/officeDocument/2006/relationships/hyperlink" Id="rId21" Target="http://novogireevo.mos.ru/trade-and-services/official-announcements-and-documents/detail/12141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2024-02-27T08:03:28Z</dcterms:created>
  <dcterms:modified xsi:type="dcterms:W3CDTF">2024-02-27T08:03:28Z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