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4776ed02788b78b666dfb68cb53d5cd7dc1d2"/>
    <w:p>
      <w:pPr>
        <w:pStyle w:val="Heading3"/>
      </w:pPr>
      <w:r>
        <w:t xml:space="preserve">О возобновлении действия деклараций о соответствии на хлебобулочные изделия изготовителя ООО "Честная пекарня"</w:t>
      </w:r>
    </w:p>
    <w:p>
      <w:pPr>
        <w:pStyle w:val="FirstParagraph"/>
      </w:pPr>
      <w:r>
        <w:t xml:space="preserve">26.06.2023</w:t>
      </w:r>
    </w:p>
    <w:p>
      <w:pPr>
        <w:pStyle w:val="BodyText"/>
      </w:pPr>
      <w:r>
        <w:drawing>
          <wp:inline>
            <wp:extent cx="5334000" cy="36725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8da/drds1p5b6eg46d7n337hnc11autbs4ec/Bez-nazvaniya-_8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25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http://novogireevo.mos.ru/trade-and-services/official-announcements-and-documents/detail/11676556.html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trade-and-services/official-announcements-and-documents/detail/11676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trade-and-services/official-announcements-and-documents/detail/11676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2024-09-18T03:29:35Z</dcterms:created>
  <dcterms:modified xsi:type="dcterms:W3CDTF">2024-09-18T03:29:35Z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