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befe909d170cb9d51aac6344406866cec792e"/>
    <w:p>
      <w:pPr>
        <w:pStyle w:val="Heading3"/>
      </w:pPr>
      <w:r>
        <w:t xml:space="preserve">Управление Роспотребнадзора по г. Москве проводит тематическое консультирование граждан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drawing>
          <wp:inline>
            <wp:extent cx="5334000" cy="19826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cc6/1agm9sql7kz39yq1vdflyumxffdg0eds/Snimok-ekrana-_68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826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http://novogireevo.mos.ru/trade-and-services/official-announcements-and-documents/detail/11603156.html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rade-and-services/official-announcements-and-documents/detail/11603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rade-and-services/official-announcements-and-documents/detail/11603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2025-04-02T10:07:14Z</dcterms:created>
  <dcterms:modified xsi:type="dcterms:W3CDTF">2025-04-02T10:07:14Z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