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da932523d806029cf4ba0aaeab3cbd142713"/>
    <w:p>
      <w:pPr>
        <w:pStyle w:val="Heading3"/>
      </w:pPr>
      <w:r>
        <w:t xml:space="preserve">Роспотребнадзор информирует о признании недействительными деклараций!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hyperlink r:id="rId20">
        <w:r>
          <w:rPr>
            <w:rStyle w:val="Hyperlink"/>
            <w:u w:val="single"/>
          </w:rPr>
          <w:t xml:space="preserve">О признании недействительными деклараций о соответствии от 05.05.2023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http://novogireevo.mos.ru/trade-and-services/official-announcements-and-documents/detail/11591318.html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f8/qvu29pp4y2l932zslk3wb3pojavm4w59/O-priznanii-nedeystvitelnymi-deklaratsiy-o-sootvetstvii-ot-05.05.2023-g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591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f8/qvu29pp4y2l932zslk3wb3pojavm4w59/O-priznanii-nedeystvitelnymi-deklaratsiy-o-sootvetstvii-ot-05.05.2023-g.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1591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2025-04-07T10:20:42Z</dcterms:created>
  <dcterms:modified xsi:type="dcterms:W3CDTF">2025-04-07T10:20:42Z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