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3a4a9da5220ae967a8d9069d44142e8312ecd"/>
    <w:p>
      <w:pPr>
        <w:pStyle w:val="Heading3"/>
      </w:pPr>
      <w:r>
        <w:t xml:space="preserve">Названы самые конкурентные сферы закупок Москвы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54193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конкуренция,%20торг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19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Первую строку рейтинга конкурентных закупок Москвы по итогам девяти месяцев 2015 года заняла сфера ремонта и технического обслуживания, сообщил руководитель Департамента по конкурентной политике Геннадий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«Самая высокая конкуренция наблюдается на конкурсных процедурах по ремонту и техобслуживанию. В них участвуют в среднем более пяти участников. Соответственно, высокая конкуренция отражается на эффективности закупки - среднее снижение начальной цены контракта достигло 17 процентов. Объем закупок в сфере ремонта и техобслуживания за девять месяцев этого года составил более 36 млрд рублей», - сказал Геннадий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пояснил, что при составлении рейтинга конкурентных сфер в основу оценки легли такие показатели, как среднее количество заявок и участников, допущенных к торгам, а также процент снижения стартовых цен с учетом доли в общем объеме закупок с начала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пятерку конкурентных сфер вошли также поставка медицинских товаров и услуг, капитальный ремонт, благоустройство и озеленение территорий, а также закупка товаров и услуг ИТ», - сказал Г. Дёгтев.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его информации, по таким показателям, как число заявок на лот и количество участников, допущенных к торгам, лидируют сфера благоустройства и озеленения – 6 и 3,9 соответственно, и капитального ремонта – более 5,1 и 3,4. Рекордсменом по снижению начальных цен также стало благоустройство и озеленение территорий – здесь этот показатель достигает 22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Геннадия Дёгтева, все показатели закупочного процесса – взаимозависимы.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«Высокая конкуренция обеспечивает большее снижение стартовых цен контракта, что, в свою очередь, ведет к экономии бюджетных средств», - подчеркнул Г. Дёгтев, добавив, что экономия городского бюджета на закупках за девять месяцев 2015 года превысила 32 процента.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девять месяцев 2015 года Москва закупила товаров и услуг на сумму 294 млрд рублей. Среднее количество заявок составило 4,6, количество участников, допущенных к торгам, - в среднем 3,6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http://novogireevo.mos.ru/presscenter/news/detail/2293897.html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93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293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2023-08-17T01:40:39Z</dcterms:created>
  <dcterms:modified xsi:type="dcterms:W3CDTF">2023-08-17T01:40:39Z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