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269d17d1d11f6b8b9b4cfb64cc36ebe2eb12"/>
    <w:p>
      <w:pPr>
        <w:pStyle w:val="Heading3"/>
      </w:pPr>
      <w:r>
        <w:t xml:space="preserve">«Активный гражданин» поможет собственникам получить поддержку города при переходе на спецсчет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упрощен порядок изменения способа накопления средств на оплату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ближайшее время в проекте "Активный гражданин" пройдет очередной опрос, определяющий необходимость поддержки собственников при переводе денежных средств из Фонда на счет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подразумевает три варианта ответа: "Да, помощь нужна", "нет, средства уже переведены", "затрудняюсь ответить". Если в результате голосования жители Москвы примут решение о необходимости предоставления поддержки, собственникам будет оказана помощь в проведении собраний и подготовке документации.</w:t>
      </w:r>
    </w:p>
    <w:p>
      <w:pPr>
        <w:pStyle w:val="BodyText"/>
      </w:pPr>
      <w:r>
        <w:t xml:space="preserve">Поддержку получат дома, набравшие большинство голосов в проекте «Активный гражданин». При ответе необходимо указать свой точный адрес.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http://novogireevo.mos.ru/presscenter/news/detail/2236332.html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36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36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2024-08-17T16:43:25Z</dcterms:created>
  <dcterms:modified xsi:type="dcterms:W3CDTF">2024-08-17T16:43:25Z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