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1fc408e08e3b281a9d1bb85ff0907ae0b2757"/>
    <w:p>
      <w:pPr>
        <w:pStyle w:val="Heading3"/>
      </w:pPr>
      <w:r>
        <w:t xml:space="preserve">Активные москвичи примут участие в обсуждении экологической стратегии Москвы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t xml:space="preserve">На портале «Активный гражданин» подведены итоги голосования «Новый краудсорсинг-проект «Экологическая стратегия Москвы».</w:t>
      </w:r>
    </w:p>
    <w:p>
      <w:pPr>
        <w:pStyle w:val="BodyText"/>
      </w:pPr>
      <w:r>
        <w:t xml:space="preserve">Участие в голосовании приняли 184 тысячи москвичей. 82% из них тема экологии оказалась интересна, большая часть из них планирует наблюдать за работой проекта в гостевом режиме. 30% — хотели бы принять активное участие в обсуждении экологической стратегии, но у них нет на это времени. </w:t>
      </w:r>
    </w:p>
    <w:p>
      <w:pPr>
        <w:pStyle w:val="BodyText"/>
      </w:pPr>
      <w:r>
        <w:t xml:space="preserve">12% проголосовавших решили, что не будут принимать участие в экологическом проекте, еще 6% считают, что данный вопрос находится в компетенции специалистов. </w:t>
      </w:r>
    </w:p>
    <w:p>
      <w:pPr>
        <w:pStyle w:val="BodyText"/>
      </w:pPr>
      <w:r>
        <w:t xml:space="preserve">Напомним, новый</w:t>
      </w:r>
      <w:r>
        <w:t xml:space="preserve"> </w:t>
      </w:r>
      <w:hyperlink r:id="rId20">
        <w:r>
          <w:rPr>
            <w:rStyle w:val="Hyperlink"/>
          </w:rPr>
          <w:t xml:space="preserve">краудсорсинг-проект «Экологическая стратегия Москвы»</w:t>
        </w:r>
      </w:hyperlink>
      <w:r>
        <w:t xml:space="preserve"> </w:t>
      </w:r>
      <w:r>
        <w:t xml:space="preserve">начался 20 июля. Принять участие в нем решили более 4700 тысяч москвичей, которым не безразлична экологическая ситуация в любимом городе.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http://novogireevo.mos.ru/presscenter/news/detail/2021832.html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rowd.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021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rowd.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021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2024-11-14T22:35:17Z</dcterms:created>
  <dcterms:modified xsi:type="dcterms:W3CDTF">2024-11-14T22:35:17Z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