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c1c6f492ebcf373960907e296748629e4551a"/>
    <w:p>
      <w:pPr>
        <w:pStyle w:val="Heading3"/>
      </w:pPr>
      <w:r>
        <w:t xml:space="preserve">Власти Москвы выставили на аукцион 40 киосков «Мороженое»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t xml:space="preserve">11 и 12 августа в Москве пройдут электронные торги по определению арендаторов 40 киосков «Мороженное», расположенных в 10 административных округах столицы.</w:t>
      </w:r>
    </w:p>
    <w:p>
      <w:pPr>
        <w:pStyle w:val="BodyText"/>
      </w:pPr>
      <w:r>
        <w:t xml:space="preserve">Организатором торгов выступает столичный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Департамент по конкурентной политике.</w:t>
        </w:r>
      </w:hyperlink>
      <w:r>
        <w:t xml:space="preserve"> </w:t>
      </w:r>
      <w:r>
        <w:t xml:space="preserve">Участникам аукционов предстоит торговаться за размер ежемесячной платы, которая устанавливается в зависимости от места размещения объекта. В пределах Бульварного кольца она составит 40 тыс. рублей, в пределах Садового кольца - 37, в пределах ТТК- 32, за пределами ТТК - 26,7 тыс. рублей. Все нестационарные торговые объекты площадью 6 кв. метров подключены к инженерным сетям, укомплектованы морозильными камерами, холодильниками, стеллажами для открытой выкладки товаров, столами под кассовые аппараты и LCD панелями. Срок действия договора на право осуществления торговой деятельности в нестационарных торговых объектах составляет 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http://novogireevo.mos.ru/presscenter/news/detail/1987908.html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987908.html" TargetMode="External" /><Relationship Type="http://schemas.openxmlformats.org/officeDocument/2006/relationships/hyperlink" Id="rId20" Target="http://tende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987908.html" TargetMode="External" /><Relationship Type="http://schemas.openxmlformats.org/officeDocument/2006/relationships/hyperlink" Id="rId20" Target="http://tende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2023-07-12T21:54:20Z</dcterms:created>
  <dcterms:modified xsi:type="dcterms:W3CDTF">2023-07-12T21:54:20Z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