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a252f54fc770ce3da6c0e9dced4e4bcd957711"/>
    <w:p>
      <w:pPr>
        <w:pStyle w:val="Heading3"/>
      </w:pPr>
      <w:r>
        <w:t xml:space="preserve">Информирование участников алкогольного рынка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 1 по 20 апреля 2015 года проводится декларационная кампания за 1 квартал 2015 года.</w:t>
      </w:r>
      <w:r>
        <w:br/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   12 за 4 квартал 2014 года необходимо подать до 20 апреля 2015 года.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 исключительно в форме электронного документа, формат которого утвержден приказом Росалкогольрегулирования от 05 августа 2013 г. №198 на региональную площадку города Москвы в информационной системе Федеральной службы по регулированию алкогольного рынка 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 .</w:t>
      </w:r>
    </w:p>
    <w:p>
      <w:pPr>
        <w:pStyle w:val="BodyText"/>
      </w:pPr>
      <w:r>
        <w:t xml:space="preserve">Декларации в форме электронного документа подписываются усиленной квалифицированной электронной подписью, сертификат ключа проверки которой выдан удостоверяющим центром, аккредитованным Минкомсвязи России. Перечень аккредитованных удостоверяющих центров опубликован на сайте </w:t>
      </w:r>
      <w:hyperlink r:id="rId21">
        <w:r>
          <w:rPr>
            <w:rStyle w:val="Hyperlink"/>
          </w:rPr>
          <w:t xml:space="preserve">http://minsvyaz.ru/ru/</w:t>
        </w:r>
      </w:hyperlink>
      <w:r>
        <w:t xml:space="preserve"> .</w:t>
      </w:r>
    </w:p>
    <w:p>
      <w:pPr>
        <w:pStyle w:val="BodyText"/>
      </w:pPr>
      <w:r>
        <w:t xml:space="preserve"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Вместе с тем, если организацией в отчетный период не осуществлялась   деятельность по розничной продаже пива и пивных напитков, декларация представляется в установленном действующим законодательством порядке, при этом в декларации указываются нулевые показатели по обороту алкогольной продукции.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принадлежности. Особенно это касается организаций, которые сменили принадлежность с 50 региона на 77.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По результатам документарного анализа представления деклараций за 2014 год:</w:t>
      </w:r>
    </w:p>
    <w:p>
      <w:pPr>
        <w:pStyle w:val="BodyText"/>
      </w:pPr>
      <w:r>
        <w:t xml:space="preserve">- привлечены к административной ответственности по ст.15.13 КоАП РФ 423 организации, нарушавшие порядок и сроки представления деклараций,</w:t>
      </w:r>
    </w:p>
    <w:p>
      <w:pPr>
        <w:pStyle w:val="BodyText"/>
      </w:pPr>
      <w:r>
        <w:t xml:space="preserve">- в отношении 334 вынесены постановления о назначении административного наказания в виде назначения штрафа на общую сумму 24,2 млн. рублей;</w:t>
      </w:r>
    </w:p>
    <w:p>
      <w:pPr>
        <w:pStyle w:val="BodyText"/>
      </w:pPr>
      <w:r>
        <w:t xml:space="preserve">По факту уклонения от уплаты административного штрафа мировыми судьями   вынесены постановления о назначении административного штрафа по ст.20.25 КоАП РФ в двукратном размере к неоплаченному на общую сумму 5,6 млн. руб. в отношении 42 организаций.</w:t>
      </w:r>
    </w:p>
    <w:p>
      <w:pPr>
        <w:pStyle w:val="BodyText"/>
      </w:pPr>
      <w:r>
        <w:t xml:space="preserve">В Управление федеральных судебных приставов направлены заявления о возбуждении исполнительного производства по 106 организациям, не оплатившим в добровольном порядке административный штраф в установленный законом срок.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Контактные телефоны в Департаменте торговли и услуг города Москвы по вопросам декларирования: 8(495)621-1858; 8(495)623-5910.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http://novogireevo.mos.ru/presscenter/news/detail/1700223.html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nsvyaz.ru/ru/" TargetMode="Externa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1700223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nsvyaz.ru/ru/" TargetMode="Externa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1700223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2025-03-16T21:50:55Z</dcterms:created>
  <dcterms:modified xsi:type="dcterms:W3CDTF">2025-03-16T21:50:55Z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