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9becf8655d2272d92b181eaab454345ba0dde"/>
    <w:p>
      <w:pPr>
        <w:pStyle w:val="Heading3"/>
      </w:pPr>
      <w:r>
        <w:t xml:space="preserve">С января по ноябрь 2022 г. продолжается реализация социально значимой Программы "Лучшее детям", направленной на повышение качества жизни подрастающего поколения России.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hyperlink r:id="rId20">
        <w:r>
          <w:rPr>
            <w:rStyle w:val="Hyperlink"/>
          </w:rPr>
          <w:t xml:space="preserve">Лучшее детям-2-13 на сайт.pdf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http://novogireevo.mos.ru/presscenter/news/detail/10607832.html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2f/luchshee-detyam_2_13-na-sayt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0607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2f/luchshee-detyam_2_13-na-sayt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0607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2025-08-05T22:18:09Z</dcterms:created>
  <dcterms:modified xsi:type="dcterms:W3CDTF">2025-08-05T22:18:09Z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