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784e4056f354e06c93b16c487bd6d03738fd8"/>
    <w:p>
      <w:pPr>
        <w:pStyle w:val="Heading3"/>
      </w:pPr>
      <w:r>
        <w:t xml:space="preserve">Административная ответственность, предусмотренную ст. 20.3.1 КоАП РФ (возбуждение ненависти либо вражды, а равно унижение человеческого достоинства)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Статья 20.3.1 КоАП РФ устанавливает меры административной ответственности за возбуждение ненависти либо вражды, а равно унижение человеческого достоинства.</w:t>
      </w:r>
    </w:p>
    <w:p>
      <w:pPr>
        <w:pStyle w:val="BodyText"/>
      </w:pPr>
      <w:r>
        <w:t xml:space="preserve">Возбуждение ненависти либо вражды по признакам пола, расовой, национальной, языковой, религиозной принадлежности или принадлежности к какой-либо социальной группе, в том числе путем распространения призывов к насильственным действиям, прежде всего через информационно-телекоммуникационные сети, включая сеть Интернет, относится к наиболее опасным видам экстремизма.</w:t>
      </w:r>
    </w:p>
    <w:p>
      <w:pPr>
        <w:pStyle w:val="BodyText"/>
      </w:pPr>
      <w:r>
        <w:t xml:space="preserve">Экстремизм во всех его проявлениях ведет к нарушению гражданского мира и согласия, подрывает общественную безопасность и государственную целостность Российской Федерации, создает реальную угрозу сохранению основ конституционного строя, межнационального (межэтнического) и межконфессионального согласия.</w:t>
      </w:r>
    </w:p>
    <w:p>
      <w:pPr>
        <w:pStyle w:val="BodyText"/>
      </w:pPr>
      <w:r>
        <w:t xml:space="preserve">Экстремизм является одной из наиболее сложных проблем современного российского общества, что связано в первую очередь с многообразием его проявлений, неоднородным составом экстремистских организаций, которые угрожают национальной безопасности Российской Федерации. Статья 29 Конституции Российской Федерации устанавливает запрет на пропаганду и агитацию, возбуждающие социальную, расовую, национальную или религиозную ненависть и вражду, а также на пропаганду социального, расового, национального, религиозного или языкового превосходства.</w:t>
      </w:r>
    </w:p>
    <w:p>
      <w:pPr>
        <w:pStyle w:val="BodyText"/>
      </w:pPr>
      <w:r>
        <w:t xml:space="preserve">Именно 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если эти действия не содержат уголовно наказуемого деяния, ответственность за совершение которых установлена ст. 282 УК РФ, и составляют объективную сторону административного правонарушения.</w:t>
      </w:r>
    </w:p>
    <w:p>
      <w:pPr>
        <w:pStyle w:val="BodyText"/>
      </w:pPr>
      <w:r>
        <w:t xml:space="preserve">Указанные действия влекут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суток; на юридических лиц - от двухсот пятидесяти тысяч до пятисот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http://novogireevo.mos.ru/law-enforcement-and-security/countering-extremism/detail/11320555.html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countering-extremism/detail/11320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countering-extremism/detail/11320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2025-03-02T11:45:41Z</dcterms:created>
  <dcterms:modified xsi:type="dcterms:W3CDTF">2025-03-02T11:45:41Z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